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980" w:type="dxa"/>
        <w:tblLook w:val="04A0"/>
      </w:tblPr>
      <w:tblGrid>
        <w:gridCol w:w="2330"/>
        <w:gridCol w:w="2330"/>
        <w:gridCol w:w="2330"/>
        <w:gridCol w:w="2330"/>
        <w:gridCol w:w="2330"/>
        <w:gridCol w:w="2330"/>
      </w:tblGrid>
      <w:tr w:rsidR="000E7E30" w:rsidTr="000E7E30">
        <w:trPr>
          <w:trHeight w:val="800"/>
        </w:trPr>
        <w:tc>
          <w:tcPr>
            <w:tcW w:w="2330" w:type="dxa"/>
          </w:tcPr>
          <w:p w:rsidR="000E7E30" w:rsidRDefault="000E7E30" w:rsidP="000E7E30">
            <w:pPr>
              <w:jc w:val="center"/>
            </w:pPr>
            <w:r>
              <w:t>Component</w:t>
            </w:r>
          </w:p>
        </w:tc>
        <w:tc>
          <w:tcPr>
            <w:tcW w:w="2330" w:type="dxa"/>
          </w:tcPr>
          <w:p w:rsidR="000E7E30" w:rsidRDefault="000E7E30" w:rsidP="000E7E30">
            <w:pPr>
              <w:jc w:val="center"/>
            </w:pPr>
            <w:r>
              <w:t>Patient ABO Type</w:t>
            </w:r>
          </w:p>
        </w:tc>
        <w:tc>
          <w:tcPr>
            <w:tcW w:w="2330" w:type="dxa"/>
          </w:tcPr>
          <w:p w:rsidR="000E7E30" w:rsidRDefault="000E7E30" w:rsidP="000E7E30">
            <w:pPr>
              <w:jc w:val="center"/>
            </w:pPr>
            <w:r>
              <w:t>Acceptable ABO Substitutions</w:t>
            </w:r>
          </w:p>
        </w:tc>
        <w:tc>
          <w:tcPr>
            <w:tcW w:w="2330" w:type="dxa"/>
          </w:tcPr>
          <w:p w:rsidR="000E7E30" w:rsidRDefault="000E7E30" w:rsidP="000E7E30">
            <w:pPr>
              <w:jc w:val="center"/>
            </w:pPr>
            <w:r>
              <w:t xml:space="preserve">Patient </w:t>
            </w:r>
            <w:proofErr w:type="spellStart"/>
            <w:r>
              <w:t>Rh</w:t>
            </w:r>
            <w:proofErr w:type="spellEnd"/>
            <w:r>
              <w:t xml:space="preserve"> Type</w:t>
            </w:r>
          </w:p>
        </w:tc>
        <w:tc>
          <w:tcPr>
            <w:tcW w:w="2330" w:type="dxa"/>
          </w:tcPr>
          <w:p w:rsidR="000E7E30" w:rsidRDefault="000E7E30" w:rsidP="000E7E30">
            <w:pPr>
              <w:jc w:val="center"/>
            </w:pPr>
            <w:r>
              <w:t xml:space="preserve">Acceptable </w:t>
            </w:r>
            <w:proofErr w:type="spellStart"/>
            <w:r>
              <w:t>Rh</w:t>
            </w:r>
            <w:proofErr w:type="spellEnd"/>
            <w:r>
              <w:t xml:space="preserve"> Substitutions</w:t>
            </w:r>
          </w:p>
        </w:tc>
        <w:tc>
          <w:tcPr>
            <w:tcW w:w="2330" w:type="dxa"/>
          </w:tcPr>
          <w:p w:rsidR="000E7E30" w:rsidRDefault="000E7E30" w:rsidP="000E7E30">
            <w:pPr>
              <w:jc w:val="center"/>
            </w:pPr>
            <w:r>
              <w:t>Rationale</w:t>
            </w:r>
          </w:p>
        </w:tc>
      </w:tr>
      <w:tr w:rsidR="000E7E30" w:rsidTr="007E7430">
        <w:trPr>
          <w:trHeight w:val="530"/>
        </w:trPr>
        <w:tc>
          <w:tcPr>
            <w:tcW w:w="2330" w:type="dxa"/>
            <w:vMerge w:val="restart"/>
          </w:tcPr>
          <w:p w:rsidR="000E7E30" w:rsidRDefault="000E7E30" w:rsidP="000E7E30">
            <w:pPr>
              <w:jc w:val="center"/>
            </w:pPr>
            <w:r>
              <w:t xml:space="preserve">Whole Blood, </w:t>
            </w:r>
            <w:proofErr w:type="spellStart"/>
            <w:r>
              <w:t>ie</w:t>
            </w:r>
            <w:proofErr w:type="spellEnd"/>
            <w:r>
              <w:t xml:space="preserve"> patient to donor direct transfusion. Transfusing red cells and plasma</w:t>
            </w:r>
          </w:p>
        </w:tc>
        <w:tc>
          <w:tcPr>
            <w:tcW w:w="2330" w:type="dxa"/>
            <w:vAlign w:val="center"/>
          </w:tcPr>
          <w:p w:rsidR="000E7E30" w:rsidRDefault="000E7E30" w:rsidP="000E7E30">
            <w:pPr>
              <w:jc w:val="center"/>
            </w:pPr>
            <w:r>
              <w:t>O</w:t>
            </w:r>
          </w:p>
        </w:tc>
        <w:tc>
          <w:tcPr>
            <w:tcW w:w="2330" w:type="dxa"/>
            <w:vMerge w:val="restart"/>
            <w:vAlign w:val="center"/>
          </w:tcPr>
          <w:p w:rsidR="000E7E30" w:rsidRDefault="000E7E30" w:rsidP="007E7430">
            <w:pPr>
              <w:jc w:val="center"/>
            </w:pPr>
            <w:r>
              <w:t>None</w:t>
            </w:r>
          </w:p>
        </w:tc>
        <w:tc>
          <w:tcPr>
            <w:tcW w:w="2330" w:type="dxa"/>
            <w:vMerge w:val="restart"/>
          </w:tcPr>
          <w:p w:rsidR="000E7E30" w:rsidRDefault="000E7E30" w:rsidP="000E7E30">
            <w:pPr>
              <w:jc w:val="center"/>
            </w:pPr>
            <w:proofErr w:type="spellStart"/>
            <w:r>
              <w:t>Rh</w:t>
            </w:r>
            <w:proofErr w:type="spellEnd"/>
            <w:r>
              <w:t xml:space="preserve"> Pos</w:t>
            </w:r>
          </w:p>
          <w:p w:rsidR="000E7E30" w:rsidRDefault="000E7E30" w:rsidP="000E7E30">
            <w:pPr>
              <w:jc w:val="center"/>
            </w:pPr>
          </w:p>
        </w:tc>
        <w:tc>
          <w:tcPr>
            <w:tcW w:w="2330" w:type="dxa"/>
            <w:vMerge w:val="restart"/>
          </w:tcPr>
          <w:p w:rsidR="000E7E30" w:rsidRDefault="000E7E30" w:rsidP="000E7E30">
            <w:pPr>
              <w:jc w:val="center"/>
            </w:pPr>
            <w:proofErr w:type="spellStart"/>
            <w:r>
              <w:t>Rh</w:t>
            </w:r>
            <w:proofErr w:type="spellEnd"/>
            <w:r>
              <w:t xml:space="preserve"> Pos</w:t>
            </w:r>
          </w:p>
          <w:p w:rsidR="000E7E30" w:rsidRDefault="000E7E30" w:rsidP="000E7E30">
            <w:pPr>
              <w:jc w:val="center"/>
            </w:pPr>
          </w:p>
        </w:tc>
        <w:tc>
          <w:tcPr>
            <w:tcW w:w="2330" w:type="dxa"/>
            <w:vMerge w:val="restart"/>
          </w:tcPr>
          <w:p w:rsidR="000E7E30" w:rsidRDefault="000E7E30" w:rsidP="000E7E30">
            <w:pPr>
              <w:jc w:val="center"/>
            </w:pPr>
            <w:r>
              <w:t>Must be identical to patient. Donor plasma must be compatible to patient’s red cells.   Donor red cells must be compatible with the antibodies in the patient’s plasma.</w:t>
            </w:r>
          </w:p>
        </w:tc>
      </w:tr>
      <w:tr w:rsidR="000E7E30" w:rsidTr="007E7430">
        <w:trPr>
          <w:trHeight w:val="530"/>
        </w:trPr>
        <w:tc>
          <w:tcPr>
            <w:tcW w:w="2330" w:type="dxa"/>
            <w:vMerge/>
          </w:tcPr>
          <w:p w:rsidR="000E7E30" w:rsidRDefault="000E7E30" w:rsidP="000E7E30">
            <w:pPr>
              <w:jc w:val="center"/>
            </w:pPr>
          </w:p>
        </w:tc>
        <w:tc>
          <w:tcPr>
            <w:tcW w:w="2330" w:type="dxa"/>
            <w:vAlign w:val="center"/>
          </w:tcPr>
          <w:p w:rsidR="000E7E30" w:rsidRDefault="000E7E30" w:rsidP="000E7E30">
            <w:pPr>
              <w:jc w:val="center"/>
            </w:pPr>
            <w:r>
              <w:t>A</w:t>
            </w:r>
          </w:p>
        </w:tc>
        <w:tc>
          <w:tcPr>
            <w:tcW w:w="2330" w:type="dxa"/>
            <w:vMerge/>
          </w:tcPr>
          <w:p w:rsidR="000E7E30" w:rsidRDefault="000E7E30" w:rsidP="000E7E30">
            <w:pPr>
              <w:jc w:val="center"/>
            </w:pPr>
          </w:p>
        </w:tc>
        <w:tc>
          <w:tcPr>
            <w:tcW w:w="2330" w:type="dxa"/>
            <w:vMerge/>
          </w:tcPr>
          <w:p w:rsidR="000E7E30" w:rsidRDefault="000E7E30" w:rsidP="000E7E30">
            <w:pPr>
              <w:jc w:val="center"/>
            </w:pPr>
          </w:p>
        </w:tc>
        <w:tc>
          <w:tcPr>
            <w:tcW w:w="2330" w:type="dxa"/>
            <w:vMerge/>
          </w:tcPr>
          <w:p w:rsidR="000E7E30" w:rsidRDefault="000E7E30" w:rsidP="000E7E30">
            <w:pPr>
              <w:jc w:val="center"/>
            </w:pPr>
          </w:p>
        </w:tc>
        <w:tc>
          <w:tcPr>
            <w:tcW w:w="2330" w:type="dxa"/>
            <w:vMerge/>
          </w:tcPr>
          <w:p w:rsidR="000E7E30" w:rsidRDefault="000E7E30" w:rsidP="000E7E30">
            <w:pPr>
              <w:jc w:val="center"/>
            </w:pPr>
          </w:p>
        </w:tc>
      </w:tr>
      <w:tr w:rsidR="000E7E30" w:rsidTr="007E7430">
        <w:trPr>
          <w:trHeight w:val="503"/>
        </w:trPr>
        <w:tc>
          <w:tcPr>
            <w:tcW w:w="2330" w:type="dxa"/>
            <w:vMerge/>
          </w:tcPr>
          <w:p w:rsidR="000E7E30" w:rsidRDefault="000E7E30" w:rsidP="000E7E30">
            <w:pPr>
              <w:jc w:val="center"/>
            </w:pPr>
          </w:p>
        </w:tc>
        <w:tc>
          <w:tcPr>
            <w:tcW w:w="2330" w:type="dxa"/>
            <w:vAlign w:val="center"/>
          </w:tcPr>
          <w:p w:rsidR="000E7E30" w:rsidRDefault="000E7E30" w:rsidP="000E7E30">
            <w:pPr>
              <w:jc w:val="center"/>
            </w:pPr>
            <w:r>
              <w:t>B</w:t>
            </w:r>
          </w:p>
        </w:tc>
        <w:tc>
          <w:tcPr>
            <w:tcW w:w="2330" w:type="dxa"/>
            <w:vMerge/>
          </w:tcPr>
          <w:p w:rsidR="000E7E30" w:rsidRDefault="000E7E30" w:rsidP="000E7E30">
            <w:pPr>
              <w:jc w:val="center"/>
            </w:pPr>
          </w:p>
        </w:tc>
        <w:tc>
          <w:tcPr>
            <w:tcW w:w="2330" w:type="dxa"/>
            <w:vMerge w:val="restart"/>
          </w:tcPr>
          <w:p w:rsidR="000E7E30" w:rsidRDefault="000E7E30" w:rsidP="000E7E30">
            <w:pPr>
              <w:jc w:val="center"/>
            </w:pPr>
            <w:proofErr w:type="spellStart"/>
            <w:r>
              <w:t>Rh</w:t>
            </w:r>
            <w:proofErr w:type="spellEnd"/>
            <w:r>
              <w:t xml:space="preserve"> </w:t>
            </w:r>
            <w:proofErr w:type="spellStart"/>
            <w:r>
              <w:t>Neg</w:t>
            </w:r>
            <w:proofErr w:type="spellEnd"/>
          </w:p>
        </w:tc>
        <w:tc>
          <w:tcPr>
            <w:tcW w:w="2330" w:type="dxa"/>
            <w:vMerge w:val="restart"/>
          </w:tcPr>
          <w:p w:rsidR="000E7E30" w:rsidRDefault="000E7E30" w:rsidP="000E7E30">
            <w:pPr>
              <w:jc w:val="center"/>
            </w:pPr>
            <w:proofErr w:type="spellStart"/>
            <w:r>
              <w:t>Rh</w:t>
            </w:r>
            <w:proofErr w:type="spellEnd"/>
            <w:r>
              <w:t xml:space="preserve"> </w:t>
            </w:r>
            <w:proofErr w:type="spellStart"/>
            <w:r>
              <w:t>Neg</w:t>
            </w:r>
            <w:proofErr w:type="spellEnd"/>
          </w:p>
        </w:tc>
        <w:tc>
          <w:tcPr>
            <w:tcW w:w="2330" w:type="dxa"/>
            <w:vMerge/>
          </w:tcPr>
          <w:p w:rsidR="000E7E30" w:rsidRDefault="000E7E30" w:rsidP="000E7E30">
            <w:pPr>
              <w:jc w:val="center"/>
            </w:pPr>
          </w:p>
        </w:tc>
      </w:tr>
      <w:tr w:rsidR="000E7E30" w:rsidTr="000E7E30">
        <w:trPr>
          <w:trHeight w:val="307"/>
        </w:trPr>
        <w:tc>
          <w:tcPr>
            <w:tcW w:w="2330" w:type="dxa"/>
            <w:vMerge/>
          </w:tcPr>
          <w:p w:rsidR="000E7E30" w:rsidRDefault="000E7E30" w:rsidP="000E7E30">
            <w:pPr>
              <w:jc w:val="center"/>
            </w:pPr>
          </w:p>
        </w:tc>
        <w:tc>
          <w:tcPr>
            <w:tcW w:w="2330" w:type="dxa"/>
            <w:vAlign w:val="center"/>
          </w:tcPr>
          <w:p w:rsidR="000E7E30" w:rsidRDefault="000E7E30" w:rsidP="000E7E30">
            <w:pPr>
              <w:jc w:val="center"/>
            </w:pPr>
            <w:r>
              <w:t>AB</w:t>
            </w:r>
          </w:p>
        </w:tc>
        <w:tc>
          <w:tcPr>
            <w:tcW w:w="2330" w:type="dxa"/>
            <w:vMerge/>
          </w:tcPr>
          <w:p w:rsidR="000E7E30" w:rsidRDefault="000E7E30" w:rsidP="000E7E30">
            <w:pPr>
              <w:jc w:val="center"/>
            </w:pPr>
          </w:p>
        </w:tc>
        <w:tc>
          <w:tcPr>
            <w:tcW w:w="2330" w:type="dxa"/>
            <w:vMerge/>
          </w:tcPr>
          <w:p w:rsidR="000E7E30" w:rsidRDefault="000E7E30" w:rsidP="000E7E30">
            <w:pPr>
              <w:jc w:val="center"/>
            </w:pPr>
          </w:p>
        </w:tc>
        <w:tc>
          <w:tcPr>
            <w:tcW w:w="2330" w:type="dxa"/>
            <w:vMerge/>
          </w:tcPr>
          <w:p w:rsidR="000E7E30" w:rsidRDefault="000E7E30" w:rsidP="000E7E30">
            <w:pPr>
              <w:jc w:val="center"/>
            </w:pPr>
          </w:p>
        </w:tc>
        <w:tc>
          <w:tcPr>
            <w:tcW w:w="2330" w:type="dxa"/>
            <w:vMerge/>
          </w:tcPr>
          <w:p w:rsidR="000E7E30" w:rsidRDefault="000E7E30" w:rsidP="000E7E30">
            <w:pPr>
              <w:jc w:val="center"/>
            </w:pPr>
          </w:p>
        </w:tc>
      </w:tr>
      <w:tr w:rsidR="000E7E30" w:rsidTr="000E7E30">
        <w:trPr>
          <w:trHeight w:val="330"/>
        </w:trPr>
        <w:tc>
          <w:tcPr>
            <w:tcW w:w="2330" w:type="dxa"/>
            <w:vMerge w:val="restart"/>
          </w:tcPr>
          <w:p w:rsidR="000E7E30" w:rsidRDefault="000E7E30" w:rsidP="000E7E30">
            <w:pPr>
              <w:jc w:val="center"/>
            </w:pPr>
            <w:r>
              <w:t>Packed Red Blood Cells (typical in-hospital transfusion)</w:t>
            </w:r>
          </w:p>
        </w:tc>
        <w:tc>
          <w:tcPr>
            <w:tcW w:w="2330" w:type="dxa"/>
          </w:tcPr>
          <w:p w:rsidR="000E7E30" w:rsidRDefault="000E7E30" w:rsidP="000E7E30">
            <w:pPr>
              <w:jc w:val="center"/>
            </w:pPr>
            <w:r>
              <w:t>O</w:t>
            </w:r>
          </w:p>
        </w:tc>
        <w:tc>
          <w:tcPr>
            <w:tcW w:w="2330" w:type="dxa"/>
          </w:tcPr>
          <w:p w:rsidR="000E7E30" w:rsidRDefault="000E7E30" w:rsidP="000E7E30">
            <w:pPr>
              <w:jc w:val="center"/>
            </w:pPr>
            <w:r>
              <w:t>None</w:t>
            </w:r>
          </w:p>
        </w:tc>
        <w:tc>
          <w:tcPr>
            <w:tcW w:w="2330" w:type="dxa"/>
            <w:vMerge w:val="restart"/>
          </w:tcPr>
          <w:p w:rsidR="000E7E30" w:rsidRDefault="000E7E30" w:rsidP="000E7E30">
            <w:pPr>
              <w:jc w:val="center"/>
            </w:pPr>
            <w:proofErr w:type="spellStart"/>
            <w:r>
              <w:t>Rh</w:t>
            </w:r>
            <w:proofErr w:type="spellEnd"/>
            <w:r>
              <w:t xml:space="preserve"> Pos</w:t>
            </w:r>
          </w:p>
          <w:p w:rsidR="000E7E30" w:rsidRDefault="000E7E30" w:rsidP="000E7E30">
            <w:pPr>
              <w:jc w:val="center"/>
            </w:pPr>
          </w:p>
        </w:tc>
        <w:tc>
          <w:tcPr>
            <w:tcW w:w="2330" w:type="dxa"/>
            <w:vMerge w:val="restart"/>
          </w:tcPr>
          <w:p w:rsidR="000E7E30" w:rsidRDefault="000E7E30" w:rsidP="000E7E30">
            <w:pPr>
              <w:jc w:val="center"/>
            </w:pPr>
            <w:proofErr w:type="spellStart"/>
            <w:r>
              <w:t>Rh</w:t>
            </w:r>
            <w:proofErr w:type="spellEnd"/>
            <w:r>
              <w:t xml:space="preserve"> </w:t>
            </w:r>
            <w:proofErr w:type="spellStart"/>
            <w:r>
              <w:t>Neg</w:t>
            </w:r>
            <w:proofErr w:type="spellEnd"/>
          </w:p>
        </w:tc>
        <w:tc>
          <w:tcPr>
            <w:tcW w:w="2330" w:type="dxa"/>
            <w:vMerge w:val="restart"/>
          </w:tcPr>
          <w:p w:rsidR="000E7E30" w:rsidRDefault="000E7E30" w:rsidP="000E7E30">
            <w:pPr>
              <w:jc w:val="center"/>
            </w:pPr>
            <w:r>
              <w:t>Donor red cells must be compatible with the antibodies in the patient’s plasma.</w:t>
            </w:r>
          </w:p>
        </w:tc>
      </w:tr>
      <w:tr w:rsidR="000E7E30" w:rsidTr="000E7E30">
        <w:trPr>
          <w:trHeight w:val="330"/>
        </w:trPr>
        <w:tc>
          <w:tcPr>
            <w:tcW w:w="2330" w:type="dxa"/>
            <w:vMerge/>
          </w:tcPr>
          <w:p w:rsidR="000E7E30" w:rsidRDefault="000E7E30" w:rsidP="000E7E30">
            <w:pPr>
              <w:jc w:val="center"/>
            </w:pPr>
          </w:p>
        </w:tc>
        <w:tc>
          <w:tcPr>
            <w:tcW w:w="2330" w:type="dxa"/>
          </w:tcPr>
          <w:p w:rsidR="000E7E30" w:rsidRDefault="000E7E30" w:rsidP="000E7E30">
            <w:pPr>
              <w:jc w:val="center"/>
            </w:pPr>
            <w:r>
              <w:t>A</w:t>
            </w:r>
          </w:p>
        </w:tc>
        <w:tc>
          <w:tcPr>
            <w:tcW w:w="2330" w:type="dxa"/>
          </w:tcPr>
          <w:p w:rsidR="000E7E30" w:rsidRDefault="000E7E30" w:rsidP="000E7E30">
            <w:pPr>
              <w:jc w:val="center"/>
            </w:pPr>
            <w:r>
              <w:t>O</w:t>
            </w:r>
          </w:p>
        </w:tc>
        <w:tc>
          <w:tcPr>
            <w:tcW w:w="2330" w:type="dxa"/>
            <w:vMerge/>
          </w:tcPr>
          <w:p w:rsidR="000E7E30" w:rsidRDefault="000E7E30" w:rsidP="000E7E30">
            <w:pPr>
              <w:jc w:val="center"/>
            </w:pPr>
          </w:p>
        </w:tc>
        <w:tc>
          <w:tcPr>
            <w:tcW w:w="2330" w:type="dxa"/>
            <w:vMerge/>
          </w:tcPr>
          <w:p w:rsidR="000E7E30" w:rsidRDefault="000E7E30" w:rsidP="000E7E30">
            <w:pPr>
              <w:jc w:val="center"/>
            </w:pPr>
          </w:p>
        </w:tc>
        <w:tc>
          <w:tcPr>
            <w:tcW w:w="2330" w:type="dxa"/>
            <w:vMerge/>
          </w:tcPr>
          <w:p w:rsidR="000E7E30" w:rsidRDefault="000E7E30" w:rsidP="000E7E30">
            <w:pPr>
              <w:jc w:val="center"/>
            </w:pPr>
          </w:p>
        </w:tc>
      </w:tr>
      <w:tr w:rsidR="000E7E30" w:rsidTr="000E7E30">
        <w:trPr>
          <w:trHeight w:val="330"/>
        </w:trPr>
        <w:tc>
          <w:tcPr>
            <w:tcW w:w="2330" w:type="dxa"/>
            <w:vMerge/>
          </w:tcPr>
          <w:p w:rsidR="000E7E30" w:rsidRDefault="000E7E30" w:rsidP="000E7E30">
            <w:pPr>
              <w:jc w:val="center"/>
            </w:pPr>
          </w:p>
        </w:tc>
        <w:tc>
          <w:tcPr>
            <w:tcW w:w="2330" w:type="dxa"/>
          </w:tcPr>
          <w:p w:rsidR="000E7E30" w:rsidRDefault="000E7E30" w:rsidP="000E7E30">
            <w:pPr>
              <w:jc w:val="center"/>
            </w:pPr>
            <w:r>
              <w:t>B</w:t>
            </w:r>
          </w:p>
        </w:tc>
        <w:tc>
          <w:tcPr>
            <w:tcW w:w="2330" w:type="dxa"/>
          </w:tcPr>
          <w:p w:rsidR="000E7E30" w:rsidRDefault="000E7E30" w:rsidP="000E7E30">
            <w:pPr>
              <w:jc w:val="center"/>
            </w:pPr>
            <w:r>
              <w:t>O</w:t>
            </w:r>
          </w:p>
        </w:tc>
        <w:tc>
          <w:tcPr>
            <w:tcW w:w="2330" w:type="dxa"/>
            <w:vMerge w:val="restart"/>
          </w:tcPr>
          <w:p w:rsidR="000E7E30" w:rsidRDefault="000E7E30" w:rsidP="000E7E30">
            <w:pPr>
              <w:jc w:val="center"/>
            </w:pPr>
            <w:proofErr w:type="spellStart"/>
            <w:r>
              <w:t>Rh</w:t>
            </w:r>
            <w:proofErr w:type="spellEnd"/>
            <w:r>
              <w:t xml:space="preserve"> </w:t>
            </w:r>
            <w:proofErr w:type="spellStart"/>
            <w:r>
              <w:t>Neg</w:t>
            </w:r>
            <w:proofErr w:type="spellEnd"/>
          </w:p>
        </w:tc>
        <w:tc>
          <w:tcPr>
            <w:tcW w:w="2330" w:type="dxa"/>
            <w:vMerge w:val="restart"/>
          </w:tcPr>
          <w:p w:rsidR="000E7E30" w:rsidRDefault="000E7E30" w:rsidP="000E7E30">
            <w:pPr>
              <w:jc w:val="center"/>
            </w:pPr>
            <w:r>
              <w:t>None</w:t>
            </w:r>
          </w:p>
        </w:tc>
        <w:tc>
          <w:tcPr>
            <w:tcW w:w="2330" w:type="dxa"/>
            <w:vMerge/>
          </w:tcPr>
          <w:p w:rsidR="000E7E30" w:rsidRDefault="000E7E30" w:rsidP="000E7E30">
            <w:pPr>
              <w:jc w:val="center"/>
            </w:pPr>
          </w:p>
        </w:tc>
      </w:tr>
      <w:tr w:rsidR="000E7E30" w:rsidTr="000E7E30">
        <w:trPr>
          <w:trHeight w:val="330"/>
        </w:trPr>
        <w:tc>
          <w:tcPr>
            <w:tcW w:w="2330" w:type="dxa"/>
            <w:vMerge/>
          </w:tcPr>
          <w:p w:rsidR="000E7E30" w:rsidRDefault="000E7E30" w:rsidP="000E7E30">
            <w:pPr>
              <w:jc w:val="center"/>
            </w:pPr>
          </w:p>
        </w:tc>
        <w:tc>
          <w:tcPr>
            <w:tcW w:w="2330" w:type="dxa"/>
          </w:tcPr>
          <w:p w:rsidR="000E7E30" w:rsidRDefault="000E7E30" w:rsidP="000E7E30">
            <w:pPr>
              <w:jc w:val="center"/>
            </w:pPr>
            <w:r>
              <w:t>AB</w:t>
            </w:r>
          </w:p>
        </w:tc>
        <w:tc>
          <w:tcPr>
            <w:tcW w:w="2330" w:type="dxa"/>
          </w:tcPr>
          <w:p w:rsidR="000E7E30" w:rsidRDefault="000E7E30" w:rsidP="000E7E30">
            <w:pPr>
              <w:jc w:val="center"/>
            </w:pPr>
            <w:r>
              <w:t>A, B, O</w:t>
            </w:r>
          </w:p>
        </w:tc>
        <w:tc>
          <w:tcPr>
            <w:tcW w:w="2330" w:type="dxa"/>
            <w:vMerge/>
          </w:tcPr>
          <w:p w:rsidR="000E7E30" w:rsidRDefault="000E7E30" w:rsidP="000E7E30">
            <w:pPr>
              <w:jc w:val="center"/>
            </w:pPr>
          </w:p>
        </w:tc>
        <w:tc>
          <w:tcPr>
            <w:tcW w:w="2330" w:type="dxa"/>
            <w:vMerge/>
          </w:tcPr>
          <w:p w:rsidR="000E7E30" w:rsidRDefault="000E7E30" w:rsidP="000E7E30">
            <w:pPr>
              <w:jc w:val="center"/>
            </w:pPr>
          </w:p>
        </w:tc>
        <w:tc>
          <w:tcPr>
            <w:tcW w:w="2330" w:type="dxa"/>
            <w:vMerge/>
          </w:tcPr>
          <w:p w:rsidR="000E7E30" w:rsidRDefault="000E7E30" w:rsidP="000E7E30">
            <w:pPr>
              <w:jc w:val="center"/>
            </w:pPr>
          </w:p>
        </w:tc>
      </w:tr>
    </w:tbl>
    <w:p w:rsidR="00400D60" w:rsidRDefault="00400D60" w:rsidP="000E7E30">
      <w:pPr>
        <w:jc w:val="center"/>
      </w:pPr>
    </w:p>
    <w:p w:rsidR="000A6EE7" w:rsidRDefault="000A6EE7" w:rsidP="000A6EE7">
      <w:r>
        <w:t xml:space="preserve">Every person has naturally occurring antibodies in their blood against other blood types. Blood type O has Anti-A and Anti-B. Blood type A has Anti-B and blood type B has Anti-A. These antibodies are found in a person’s plasma. When performing a whole blood (cells and plasma) transfusion, one must have compatibility between the donor cells and plasma with the patient’s cells and plasma. When giving packed red blood cells (the treatment of choice in a hospital setting), no donor plasma is transfused. </w:t>
      </w:r>
      <w:proofErr w:type="gramStart"/>
      <w:r>
        <w:t xml:space="preserve">Hence, giving one more substitution options, because the </w:t>
      </w:r>
      <w:proofErr w:type="spellStart"/>
      <w:r>
        <w:t>transfusionist</w:t>
      </w:r>
      <w:proofErr w:type="spellEnd"/>
      <w:r>
        <w:t xml:space="preserve"> only has to worry about compatibility between the donor cells and the patient’s plasma.</w:t>
      </w:r>
      <w:proofErr w:type="gramEnd"/>
      <w:r>
        <w:t xml:space="preserve"> </w:t>
      </w:r>
    </w:p>
    <w:p w:rsidR="00AC0CEC" w:rsidRDefault="00AC0CEC" w:rsidP="000A6EE7"/>
    <w:sectPr w:rsidR="00AC0CEC" w:rsidSect="000E7E3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E7E30"/>
    <w:rsid w:val="000A6EE7"/>
    <w:rsid w:val="000E7E30"/>
    <w:rsid w:val="00400D60"/>
    <w:rsid w:val="007E7430"/>
    <w:rsid w:val="00AC0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Benish</dc:creator>
  <cp:keywords/>
  <dc:description/>
  <cp:lastModifiedBy>Janel Benish</cp:lastModifiedBy>
  <cp:revision>3</cp:revision>
  <dcterms:created xsi:type="dcterms:W3CDTF">2010-08-05T04:13:00Z</dcterms:created>
  <dcterms:modified xsi:type="dcterms:W3CDTF">2010-08-05T04:31:00Z</dcterms:modified>
</cp:coreProperties>
</file>